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B3768" w14:textId="11D6F0CF" w:rsidR="007515BC" w:rsidRPr="00117698" w:rsidRDefault="007515BC" w:rsidP="5FAD4B79">
      <w:pPr>
        <w:pStyle w:val="Antet"/>
        <w:rPr>
          <w:rFonts w:ascii="Arial" w:eastAsia="Arial" w:hAnsi="Arial" w:cs="Arial"/>
          <w:lang w:val="ro-RO"/>
        </w:rPr>
      </w:pPr>
      <w:r w:rsidRPr="00117698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82F3B7D" wp14:editId="393D5508">
            <wp:simplePos x="0" y="0"/>
            <wp:positionH relativeFrom="column">
              <wp:posOffset>2411730</wp:posOffset>
            </wp:positionH>
            <wp:positionV relativeFrom="paragraph">
              <wp:posOffset>22860</wp:posOffset>
            </wp:positionV>
            <wp:extent cx="1272540" cy="1272540"/>
            <wp:effectExtent l="0" t="0" r="3810" b="381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2" name="Picture 2" descr="inm_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m_sig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7698">
        <w:rPr>
          <w:rFonts w:ascii="Arial" w:hAnsi="Arial" w:cs="Arial"/>
          <w:i/>
          <w:noProof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B11C637" wp14:editId="53EE1AF3">
            <wp:simplePos x="0" y="0"/>
            <wp:positionH relativeFrom="column">
              <wp:posOffset>438150</wp:posOffset>
            </wp:positionH>
            <wp:positionV relativeFrom="paragraph">
              <wp:posOffset>6350</wp:posOffset>
            </wp:positionV>
            <wp:extent cx="1272540" cy="1272540"/>
            <wp:effectExtent l="0" t="0" r="3810" b="0"/>
            <wp:wrapTight wrapText="bothSides">
              <wp:wrapPolygon edited="0">
                <wp:start x="8407" y="2263"/>
                <wp:lineTo x="7114" y="3557"/>
                <wp:lineTo x="4527" y="7114"/>
                <wp:lineTo x="4527" y="10024"/>
                <wp:lineTo x="8407" y="13257"/>
                <wp:lineTo x="323" y="13904"/>
                <wp:lineTo x="323" y="18431"/>
                <wp:lineTo x="16814" y="19078"/>
                <wp:lineTo x="18431" y="19078"/>
                <wp:lineTo x="21341" y="18431"/>
                <wp:lineTo x="21341" y="13904"/>
                <wp:lineTo x="16491" y="9377"/>
                <wp:lineTo x="16491" y="7437"/>
                <wp:lineTo x="13904" y="3880"/>
                <wp:lineTo x="12611" y="2263"/>
                <wp:lineTo x="8407" y="2263"/>
              </wp:wrapPolygon>
            </wp:wrapTight>
            <wp:docPr id="3" name="Picture 3" descr="european-bank-transparent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-bank-transparent-sma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5FAD4B79">
        <w:rPr>
          <w:rFonts w:ascii="Arial" w:eastAsia="Arial" w:hAnsi="Arial" w:cs="Arial"/>
          <w:b/>
          <w:bCs/>
          <w:caps/>
          <w:color w:val="006695"/>
          <w:sz w:val="28"/>
          <w:szCs w:val="28"/>
        </w:rPr>
        <w:t xml:space="preserve">                   </w:t>
      </w:r>
      <w:bookmarkStart w:id="0" w:name="_Hlk510624359"/>
      <w:bookmarkEnd w:id="0"/>
      <w:r w:rsidRPr="5FAD4B79">
        <w:rPr>
          <w:rFonts w:ascii="Arial" w:eastAsia="Arial" w:hAnsi="Arial" w:cs="Arial"/>
          <w:b/>
          <w:bCs/>
          <w:caps/>
          <w:color w:val="006695"/>
          <w:sz w:val="28"/>
          <w:szCs w:val="28"/>
        </w:rPr>
        <w:t xml:space="preserve">    </w:t>
      </w:r>
      <w:r w:rsidRPr="5FAD4B79">
        <w:rPr>
          <w:rFonts w:ascii="Arial" w:eastAsia="Arial" w:hAnsi="Arial" w:cs="Arial"/>
          <w:i/>
          <w:iCs/>
          <w:lang w:val="ro-RO"/>
        </w:rPr>
        <w:t xml:space="preserve">                          </w:t>
      </w:r>
      <w:r w:rsidRPr="5FAD4B79">
        <w:rPr>
          <w:rFonts w:ascii="Arial" w:eastAsia="Arial" w:hAnsi="Arial" w:cs="Arial"/>
          <w:lang w:val="ro-RO"/>
        </w:rPr>
        <w:t xml:space="preserve">     </w:t>
      </w:r>
      <w:bookmarkStart w:id="1" w:name="_Hlk510624367"/>
      <w:bookmarkEnd w:id="1"/>
      <w:r w:rsidRPr="00117698">
        <w:rPr>
          <w:rFonts w:ascii="Arial" w:hAnsi="Arial" w:cs="Arial"/>
          <w:lang w:val="ro-RO"/>
        </w:rPr>
        <w:tab/>
      </w:r>
    </w:p>
    <w:p w14:paraId="1319624E" w14:textId="5E15F2BF" w:rsidR="00192EA3" w:rsidRPr="00117698" w:rsidRDefault="00701D1C" w:rsidP="5FAD4B79">
      <w:pPr>
        <w:outlineLvl w:val="0"/>
        <w:rPr>
          <w:rFonts w:ascii="Arial" w:eastAsia="Arial" w:hAnsi="Arial" w:cs="Arial"/>
          <w:b/>
          <w:bCs/>
          <w:caps/>
          <w:color w:val="00669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A37C21" wp14:editId="5A169C4A">
            <wp:simplePos x="0" y="0"/>
            <wp:positionH relativeFrom="column">
              <wp:posOffset>4181475</wp:posOffset>
            </wp:positionH>
            <wp:positionV relativeFrom="paragraph">
              <wp:posOffset>158115</wp:posOffset>
            </wp:positionV>
            <wp:extent cx="1676400" cy="670560"/>
            <wp:effectExtent l="0" t="0" r="0" b="0"/>
            <wp:wrapNone/>
            <wp:docPr id="2282368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5BC" w:rsidRPr="5FAD4B79">
        <w:rPr>
          <w:rFonts w:ascii="Arial" w:eastAsia="Arial" w:hAnsi="Arial" w:cs="Arial"/>
          <w:b/>
          <w:bCs/>
          <w:caps/>
          <w:color w:val="006695"/>
          <w:sz w:val="28"/>
          <w:szCs w:val="28"/>
        </w:rPr>
        <w:t xml:space="preserve">          </w:t>
      </w:r>
      <w:r w:rsidR="007515BC" w:rsidRPr="00117698">
        <w:rPr>
          <w:rFonts w:ascii="Arial" w:hAnsi="Arial" w:cs="Arial"/>
          <w:b/>
          <w:caps/>
          <w:color w:val="006695"/>
          <w:sz w:val="28"/>
          <w:szCs w:val="28"/>
        </w:rPr>
        <w:tab/>
      </w:r>
    </w:p>
    <w:tbl>
      <w:tblPr>
        <w:tblStyle w:val="Tabelgril"/>
        <w:tblW w:w="78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81"/>
        <w:gridCol w:w="2581"/>
      </w:tblGrid>
      <w:tr w:rsidR="00192EA3" w:rsidRPr="00117698" w14:paraId="1D9CF1A0" w14:textId="77777777" w:rsidTr="00877795">
        <w:trPr>
          <w:jc w:val="center"/>
        </w:trPr>
        <w:tc>
          <w:tcPr>
            <w:tcW w:w="2694" w:type="dxa"/>
          </w:tcPr>
          <w:p w14:paraId="4FDD15CA" w14:textId="77777777" w:rsidR="00192EA3" w:rsidRPr="00117698" w:rsidRDefault="00192EA3" w:rsidP="00877795">
            <w:pPr>
              <w:jc w:val="center"/>
              <w:rPr>
                <w:rFonts w:ascii="Arial" w:hAnsi="Arial" w:cs="Arial"/>
                <w:b/>
                <w:color w:val="006695"/>
              </w:rPr>
            </w:pPr>
          </w:p>
        </w:tc>
        <w:tc>
          <w:tcPr>
            <w:tcW w:w="2581" w:type="dxa"/>
          </w:tcPr>
          <w:p w14:paraId="6F99BCD9" w14:textId="77777777" w:rsidR="00192EA3" w:rsidRPr="00117698" w:rsidRDefault="00192EA3" w:rsidP="0087779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581" w:type="dxa"/>
          </w:tcPr>
          <w:p w14:paraId="77EEC232" w14:textId="77777777" w:rsidR="00192EA3" w:rsidRPr="00117698" w:rsidRDefault="00192EA3" w:rsidP="00877795">
            <w:pPr>
              <w:jc w:val="center"/>
              <w:rPr>
                <w:rFonts w:ascii="Arial" w:hAnsi="Arial" w:cs="Arial"/>
                <w:noProof/>
                <w:lang w:val="it-IT" w:eastAsia="it-IT"/>
              </w:rPr>
            </w:pPr>
          </w:p>
        </w:tc>
      </w:tr>
    </w:tbl>
    <w:p w14:paraId="28EE4B89" w14:textId="3510A006" w:rsidR="007A36D3" w:rsidRPr="00117698" w:rsidRDefault="00E161FD" w:rsidP="007A36D3">
      <w:pPr>
        <w:spacing w:after="0"/>
        <w:jc w:val="center"/>
        <w:rPr>
          <w:rFonts w:ascii="Arial" w:eastAsia="Times New Roman" w:hAnsi="Arial" w:cs="Arial"/>
          <w:b/>
          <w:caps/>
          <w:color w:val="006695"/>
          <w:sz w:val="28"/>
          <w:szCs w:val="28"/>
        </w:rPr>
      </w:pPr>
      <w:r>
        <w:rPr>
          <w:rFonts w:ascii="Arial" w:eastAsia="Times New Roman" w:hAnsi="Arial" w:cs="Arial"/>
          <w:b/>
          <w:caps/>
          <w:color w:val="006695"/>
          <w:sz w:val="28"/>
          <w:szCs w:val="28"/>
        </w:rPr>
        <w:t>law and markets</w:t>
      </w:r>
      <w:r w:rsidR="007A36D3" w:rsidRPr="00117698">
        <w:rPr>
          <w:rFonts w:ascii="Arial" w:eastAsia="Times New Roman" w:hAnsi="Arial" w:cs="Arial"/>
          <w:b/>
          <w:caps/>
          <w:color w:val="006695"/>
          <w:sz w:val="28"/>
          <w:szCs w:val="28"/>
        </w:rPr>
        <w:t xml:space="preserve"> </w:t>
      </w:r>
      <w:r w:rsidR="00117698">
        <w:rPr>
          <w:rFonts w:ascii="Arial" w:eastAsia="Times New Roman" w:hAnsi="Arial" w:cs="Arial"/>
          <w:b/>
          <w:caps/>
          <w:color w:val="006695"/>
          <w:sz w:val="28"/>
          <w:szCs w:val="28"/>
        </w:rPr>
        <w:br/>
      </w:r>
    </w:p>
    <w:p w14:paraId="1D599268" w14:textId="2A9D824D" w:rsidR="004D2110" w:rsidRPr="004D2110" w:rsidRDefault="004D2110" w:rsidP="004D2110">
      <w:pPr>
        <w:spacing w:after="0" w:line="240" w:lineRule="auto"/>
        <w:ind w:left="720"/>
        <w:jc w:val="center"/>
        <w:rPr>
          <w:rFonts w:ascii="Arial" w:eastAsia="Times New Roman" w:hAnsi="Arial" w:cs="Arial"/>
          <w:bCs/>
          <w:caps/>
          <w:sz w:val="24"/>
          <w:szCs w:val="24"/>
          <w:lang w:eastAsia="hr-HR"/>
        </w:rPr>
      </w:pP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În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cadrul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proiectului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"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România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: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Formarea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judiciară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în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domeniul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dreptului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comercial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",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implementat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în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colaborare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cu Banca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Europeană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pentru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Reconstrucție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și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Dezvoltare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(BERD)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și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Organizația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Internațională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de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Dezvoltare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a </w:t>
      </w:r>
      <w:proofErr w:type="spellStart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Dreptului</w:t>
      </w:r>
      <w:proofErr w:type="spellEnd"/>
      <w:r w:rsidRPr="004D2110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(IDLO)</w:t>
      </w:r>
      <w:r w:rsidR="0034130B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, </w:t>
      </w:r>
      <w:proofErr w:type="spellStart"/>
      <w:r w:rsidR="0034130B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finanţat</w:t>
      </w:r>
      <w:proofErr w:type="spellEnd"/>
      <w:r w:rsidR="0034130B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 de BERD</w:t>
      </w:r>
    </w:p>
    <w:p w14:paraId="6F33BD13" w14:textId="77777777" w:rsidR="007A36D3" w:rsidRPr="00117698" w:rsidRDefault="007A36D3" w:rsidP="007A36D3">
      <w:pPr>
        <w:spacing w:after="0"/>
        <w:jc w:val="center"/>
        <w:rPr>
          <w:rFonts w:ascii="Arial" w:eastAsia="Times New Roman" w:hAnsi="Arial" w:cs="Arial"/>
          <w:caps/>
          <w:color w:val="006695"/>
          <w:sz w:val="32"/>
          <w:szCs w:val="32"/>
        </w:rPr>
      </w:pPr>
    </w:p>
    <w:p w14:paraId="2EE97E6F" w14:textId="599FB09F" w:rsidR="00192EA3" w:rsidRPr="00117698" w:rsidRDefault="00B95278" w:rsidP="00192EA3">
      <w:pPr>
        <w:spacing w:after="0"/>
        <w:jc w:val="center"/>
        <w:rPr>
          <w:rFonts w:ascii="Arial" w:eastAsiaTheme="majorEastAsia" w:hAnsi="Arial" w:cs="Arial"/>
          <w:iCs/>
          <w:caps/>
          <w:color w:val="006695"/>
          <w:sz w:val="28"/>
          <w:szCs w:val="28"/>
        </w:rPr>
      </w:pPr>
      <w:r>
        <w:rPr>
          <w:rFonts w:ascii="Arial" w:eastAsiaTheme="majorEastAsia" w:hAnsi="Arial" w:cs="Arial"/>
          <w:iCs/>
          <w:caps/>
          <w:color w:val="006695"/>
          <w:sz w:val="28"/>
          <w:szCs w:val="28"/>
        </w:rPr>
        <w:t>18-19 februarie 2019</w:t>
      </w:r>
    </w:p>
    <w:p w14:paraId="0DEA1E2D" w14:textId="6397C02A" w:rsidR="007515BC" w:rsidRPr="00117698" w:rsidRDefault="004D2110" w:rsidP="001B082D">
      <w:pPr>
        <w:spacing w:after="160" w:line="259" w:lineRule="auto"/>
        <w:jc w:val="center"/>
        <w:rPr>
          <w:rFonts w:ascii="Arial" w:hAnsi="Arial" w:cs="Arial"/>
          <w:b/>
          <w:color w:val="006695"/>
        </w:rPr>
      </w:pPr>
      <w:r w:rsidRPr="004D2110">
        <w:rPr>
          <w:rFonts w:ascii="Arial" w:eastAsiaTheme="majorEastAsia" w:hAnsi="Arial" w:cs="Arial"/>
          <w:iCs/>
          <w:color w:val="006695"/>
          <w:sz w:val="28"/>
          <w:szCs w:val="28"/>
        </w:rPr>
        <w:t xml:space="preserve">     </w:t>
      </w:r>
      <w:proofErr w:type="spellStart"/>
      <w:r w:rsidRPr="004D2110">
        <w:rPr>
          <w:rFonts w:ascii="Arial" w:eastAsiaTheme="majorEastAsia" w:hAnsi="Arial" w:cs="Arial"/>
          <w:iCs/>
          <w:color w:val="006695"/>
          <w:sz w:val="28"/>
          <w:szCs w:val="28"/>
        </w:rPr>
        <w:t>Institutul</w:t>
      </w:r>
      <w:proofErr w:type="spellEnd"/>
      <w:r w:rsidRPr="004D2110">
        <w:rPr>
          <w:rFonts w:ascii="Arial" w:eastAsiaTheme="majorEastAsia" w:hAnsi="Arial" w:cs="Arial"/>
          <w:iCs/>
          <w:color w:val="006695"/>
          <w:sz w:val="28"/>
          <w:szCs w:val="28"/>
        </w:rPr>
        <w:t xml:space="preserve"> </w:t>
      </w:r>
      <w:proofErr w:type="spellStart"/>
      <w:r w:rsidRPr="004D2110">
        <w:rPr>
          <w:rFonts w:ascii="Arial" w:eastAsiaTheme="majorEastAsia" w:hAnsi="Arial" w:cs="Arial"/>
          <w:iCs/>
          <w:color w:val="006695"/>
          <w:sz w:val="28"/>
          <w:szCs w:val="28"/>
        </w:rPr>
        <w:t>Naţional</w:t>
      </w:r>
      <w:proofErr w:type="spellEnd"/>
      <w:r w:rsidRPr="004D2110">
        <w:rPr>
          <w:rFonts w:ascii="Arial" w:eastAsiaTheme="majorEastAsia" w:hAnsi="Arial" w:cs="Arial"/>
          <w:iCs/>
          <w:color w:val="006695"/>
          <w:sz w:val="28"/>
          <w:szCs w:val="28"/>
        </w:rPr>
        <w:t xml:space="preserve"> al </w:t>
      </w:r>
      <w:proofErr w:type="spellStart"/>
      <w:r w:rsidRPr="004D2110">
        <w:rPr>
          <w:rFonts w:ascii="Arial" w:eastAsiaTheme="majorEastAsia" w:hAnsi="Arial" w:cs="Arial"/>
          <w:iCs/>
          <w:color w:val="006695"/>
          <w:sz w:val="28"/>
          <w:szCs w:val="28"/>
        </w:rPr>
        <w:t>Magistraturii</w:t>
      </w:r>
      <w:proofErr w:type="spellEnd"/>
      <w:r w:rsidRPr="004D2110">
        <w:rPr>
          <w:rFonts w:ascii="Arial" w:eastAsiaTheme="majorEastAsia" w:hAnsi="Arial" w:cs="Arial"/>
          <w:iCs/>
          <w:color w:val="006695"/>
          <w:sz w:val="28"/>
          <w:szCs w:val="28"/>
        </w:rPr>
        <w:t xml:space="preserve">, </w:t>
      </w:r>
      <w:proofErr w:type="spellStart"/>
      <w:r w:rsidRPr="004D2110">
        <w:rPr>
          <w:rFonts w:ascii="Arial" w:eastAsiaTheme="majorEastAsia" w:hAnsi="Arial" w:cs="Arial"/>
          <w:iCs/>
          <w:color w:val="006695"/>
          <w:sz w:val="28"/>
          <w:szCs w:val="28"/>
        </w:rPr>
        <w:t>Bucureşti</w:t>
      </w:r>
      <w:proofErr w:type="spellEnd"/>
    </w:p>
    <w:p w14:paraId="699457F9" w14:textId="4FB40072" w:rsidR="00FC7C67" w:rsidRPr="00117698" w:rsidRDefault="004C3C78" w:rsidP="00192EA3">
      <w:pPr>
        <w:jc w:val="center"/>
        <w:rPr>
          <w:rFonts w:ascii="Arial" w:eastAsia="Times New Roman" w:hAnsi="Arial" w:cs="Arial"/>
          <w:b/>
          <w:bCs/>
          <w:caps/>
          <w:color w:val="006695"/>
          <w:sz w:val="24"/>
          <w:szCs w:val="24"/>
          <w:lang w:val="en-GB"/>
        </w:rPr>
      </w:pPr>
      <w:r w:rsidRPr="00117698">
        <w:rPr>
          <w:rFonts w:ascii="Arial" w:eastAsia="Times New Roman" w:hAnsi="Arial" w:cs="Arial"/>
          <w:b/>
          <w:bCs/>
          <w:caps/>
          <w:color w:val="006695"/>
          <w:sz w:val="24"/>
          <w:szCs w:val="24"/>
          <w:lang w:val="en-GB"/>
        </w:rPr>
        <w:t>Agenda</w:t>
      </w:r>
    </w:p>
    <w:tbl>
      <w:tblPr>
        <w:tblStyle w:val="TableGrid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89"/>
        <w:gridCol w:w="6366"/>
        <w:gridCol w:w="1980"/>
      </w:tblGrid>
      <w:tr w:rsidR="00117698" w:rsidRPr="00117698" w14:paraId="18316B34" w14:textId="77777777" w:rsidTr="00735082">
        <w:trPr>
          <w:trHeight w:val="700"/>
        </w:trPr>
        <w:tc>
          <w:tcPr>
            <w:tcW w:w="7555" w:type="dxa"/>
            <w:gridSpan w:val="2"/>
            <w:shd w:val="clear" w:color="auto" w:fill="006695"/>
          </w:tcPr>
          <w:p w14:paraId="7AFFCB10" w14:textId="2FA4A49E" w:rsidR="00117698" w:rsidRPr="00735082" w:rsidRDefault="004D2110" w:rsidP="00735082">
            <w:pPr>
              <w:pStyle w:val="Titlu1"/>
              <w:spacing w:before="240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bidi="en-US"/>
              </w:rPr>
              <w:t>SESIUNE</w:t>
            </w:r>
          </w:p>
        </w:tc>
        <w:tc>
          <w:tcPr>
            <w:tcW w:w="1980" w:type="dxa"/>
            <w:shd w:val="clear" w:color="auto" w:fill="006695"/>
          </w:tcPr>
          <w:p w14:paraId="421E1C53" w14:textId="31652B5F" w:rsidR="00117698" w:rsidRPr="00735082" w:rsidRDefault="004D2110" w:rsidP="00735082">
            <w:pPr>
              <w:pStyle w:val="Titlu1"/>
              <w:spacing w:before="240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bidi="en-US"/>
              </w:rPr>
              <w:t>FORMATOR</w:t>
            </w:r>
          </w:p>
        </w:tc>
      </w:tr>
      <w:tr w:rsidR="00117698" w:rsidRPr="00117698" w14:paraId="40BFDC5D" w14:textId="77777777" w:rsidTr="00735082">
        <w:trPr>
          <w:trHeight w:val="700"/>
        </w:trPr>
        <w:tc>
          <w:tcPr>
            <w:tcW w:w="7555" w:type="dxa"/>
            <w:gridSpan w:val="2"/>
            <w:shd w:val="clear" w:color="auto" w:fill="FFFFFF" w:themeFill="background1"/>
          </w:tcPr>
          <w:p w14:paraId="3AEA7592" w14:textId="1BDC8E96" w:rsidR="00117698" w:rsidRPr="00735082" w:rsidRDefault="004D2110" w:rsidP="00B95278">
            <w:pPr>
              <w:pStyle w:val="Titlu1"/>
              <w:spacing w:before="240"/>
              <w:jc w:val="left"/>
              <w:outlineLvl w:val="0"/>
              <w:rPr>
                <w:rFonts w:ascii="Arial" w:hAnsi="Arial" w:cs="Arial"/>
                <w:color w:val="F58220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color w:val="F58220"/>
                <w:sz w:val="24"/>
                <w:szCs w:val="24"/>
                <w:lang w:bidi="en-US"/>
              </w:rPr>
              <w:t>LUNI</w:t>
            </w:r>
            <w:r w:rsidR="00B23D6E">
              <w:rPr>
                <w:rFonts w:ascii="Arial" w:hAnsi="Arial" w:cs="Arial"/>
                <w:color w:val="F58220"/>
                <w:sz w:val="24"/>
                <w:szCs w:val="24"/>
                <w:lang w:bidi="en-US"/>
              </w:rPr>
              <w:t xml:space="preserve">, </w:t>
            </w:r>
            <w:r w:rsidR="00B95278">
              <w:rPr>
                <w:rFonts w:ascii="Arial" w:hAnsi="Arial" w:cs="Arial"/>
                <w:color w:val="F58220"/>
                <w:sz w:val="24"/>
                <w:szCs w:val="24"/>
                <w:lang w:bidi="en-US"/>
              </w:rPr>
              <w:t>18 februarie 2019</w:t>
            </w:r>
          </w:p>
        </w:tc>
        <w:tc>
          <w:tcPr>
            <w:tcW w:w="1980" w:type="dxa"/>
            <w:shd w:val="clear" w:color="auto" w:fill="FFFFFF" w:themeFill="background1"/>
          </w:tcPr>
          <w:p w14:paraId="4FAD270C" w14:textId="77777777" w:rsidR="00117698" w:rsidRPr="00117698" w:rsidRDefault="00117698" w:rsidP="00297179">
            <w:pPr>
              <w:pStyle w:val="Titlu1"/>
              <w:spacing w:before="240"/>
              <w:jc w:val="left"/>
              <w:outlineLvl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117698" w:rsidRPr="00117698" w14:paraId="1502DD1F" w14:textId="77777777" w:rsidTr="00735082">
        <w:tc>
          <w:tcPr>
            <w:tcW w:w="1189" w:type="dxa"/>
            <w:shd w:val="clear" w:color="auto" w:fill="FFFFFF" w:themeFill="background1"/>
            <w:vAlign w:val="center"/>
          </w:tcPr>
          <w:p w14:paraId="73C10647" w14:textId="77777777" w:rsidR="00117698" w:rsidRPr="00117698" w:rsidRDefault="00117698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09.30 – 10.00</w:t>
            </w:r>
          </w:p>
        </w:tc>
        <w:tc>
          <w:tcPr>
            <w:tcW w:w="6366" w:type="dxa"/>
            <w:shd w:val="clear" w:color="auto" w:fill="FFFFFF" w:themeFill="background1"/>
            <w:vAlign w:val="center"/>
          </w:tcPr>
          <w:p w14:paraId="4F1ABD3D" w14:textId="1CD6AB2A" w:rsidR="00117698" w:rsidRPr="00117698" w:rsidRDefault="004D2110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Inregistrarea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participanţilor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FDAB948" w14:textId="77777777" w:rsidR="00117698" w:rsidRPr="00117698" w:rsidRDefault="00735082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/</w:t>
            </w:r>
          </w:p>
        </w:tc>
      </w:tr>
      <w:tr w:rsidR="00735082" w:rsidRPr="00117698" w14:paraId="60E4552D" w14:textId="77777777" w:rsidTr="00735082">
        <w:tc>
          <w:tcPr>
            <w:tcW w:w="1189" w:type="dxa"/>
            <w:shd w:val="clear" w:color="auto" w:fill="DAEEF3"/>
            <w:vAlign w:val="center"/>
          </w:tcPr>
          <w:p w14:paraId="29E99933" w14:textId="77777777" w:rsidR="00735082" w:rsidRPr="00117698" w:rsidRDefault="00735082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10.00-11.30</w:t>
            </w:r>
          </w:p>
        </w:tc>
        <w:tc>
          <w:tcPr>
            <w:tcW w:w="6366" w:type="dxa"/>
            <w:shd w:val="clear" w:color="auto" w:fill="DAEEF3"/>
            <w:vAlign w:val="center"/>
          </w:tcPr>
          <w:p w14:paraId="3E3F07D8" w14:textId="68A24832" w:rsidR="004D2110" w:rsidRPr="004D2110" w:rsidRDefault="004D2110" w:rsidP="00701D1C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Introducere. P</w:t>
            </w:r>
            <w:r w:rsidRPr="004D2110">
              <w:rPr>
                <w:rFonts w:ascii="Arial" w:hAnsi="Arial" w:cs="Arial"/>
                <w:sz w:val="24"/>
                <w:szCs w:val="24"/>
                <w:lang w:val="ro-RO"/>
              </w:rPr>
              <w:t>iețe și analize economice:</w:t>
            </w:r>
          </w:p>
          <w:p w14:paraId="131CB693" w14:textId="77777777" w:rsidR="004D2110" w:rsidRPr="004D2110" w:rsidRDefault="004D2110" w:rsidP="00701D1C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D2110">
              <w:rPr>
                <w:rFonts w:ascii="Arial" w:hAnsi="Arial" w:cs="Arial"/>
                <w:sz w:val="24"/>
                <w:szCs w:val="24"/>
                <w:lang w:val="ro-RO"/>
              </w:rPr>
              <w:t>- costuri, randamente, piețe,</w:t>
            </w:r>
          </w:p>
          <w:p w14:paraId="4F94D55B" w14:textId="77777777" w:rsidR="004D2110" w:rsidRPr="004D2110" w:rsidRDefault="004D2110" w:rsidP="00701D1C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D2110">
              <w:rPr>
                <w:rFonts w:ascii="Arial" w:hAnsi="Arial" w:cs="Arial"/>
                <w:sz w:val="24"/>
                <w:szCs w:val="24"/>
                <w:lang w:val="ro-RO"/>
              </w:rPr>
              <w:t>- concurența și funcțiile acesteia,</w:t>
            </w:r>
          </w:p>
          <w:p w14:paraId="153E6098" w14:textId="77777777" w:rsidR="004D2110" w:rsidRDefault="004D2110" w:rsidP="00701D1C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D2110">
              <w:rPr>
                <w:rFonts w:ascii="Arial" w:hAnsi="Arial" w:cs="Arial"/>
                <w:sz w:val="24"/>
                <w:szCs w:val="24"/>
                <w:lang w:val="ro-RO"/>
              </w:rPr>
              <w:t>- echilibrul pieței;</w:t>
            </w:r>
          </w:p>
          <w:p w14:paraId="01A6F014" w14:textId="3D4EFE05" w:rsidR="00735082" w:rsidRPr="004D2110" w:rsidRDefault="004D2110" w:rsidP="00701D1C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  <w:r w:rsidRPr="004D2110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D2110">
              <w:rPr>
                <w:rFonts w:ascii="Arial" w:hAnsi="Arial" w:cs="Arial"/>
                <w:sz w:val="24"/>
                <w:szCs w:val="24"/>
                <w:lang w:val="ro-RO"/>
              </w:rPr>
              <w:t>antreprenoriatul</w:t>
            </w:r>
            <w:proofErr w:type="spellEnd"/>
            <w:r w:rsidRPr="004D2110">
              <w:rPr>
                <w:rFonts w:ascii="Arial" w:hAnsi="Arial" w:cs="Arial"/>
                <w:sz w:val="24"/>
                <w:szCs w:val="24"/>
                <w:lang w:val="ro-RO"/>
              </w:rPr>
              <w:t xml:space="preserve"> și rolul său în economie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DAEEF3"/>
            <w:vAlign w:val="center"/>
          </w:tcPr>
          <w:p w14:paraId="7C54EBBB" w14:textId="7596BDA8" w:rsidR="00735082" w:rsidRPr="00146191" w:rsidRDefault="00A61E06" w:rsidP="0073508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Ljubomir Petruljeskov</w:t>
            </w:r>
          </w:p>
        </w:tc>
      </w:tr>
      <w:tr w:rsidR="00117698" w:rsidRPr="00117698" w14:paraId="157102FB" w14:textId="77777777" w:rsidTr="00735082">
        <w:tc>
          <w:tcPr>
            <w:tcW w:w="1189" w:type="dxa"/>
            <w:shd w:val="clear" w:color="auto" w:fill="FFFFFF" w:themeFill="background1"/>
            <w:vAlign w:val="center"/>
          </w:tcPr>
          <w:p w14:paraId="32A48879" w14:textId="77777777" w:rsidR="00117698" w:rsidRPr="00117698" w:rsidRDefault="00117698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11.30 – 11.45</w:t>
            </w:r>
          </w:p>
        </w:tc>
        <w:tc>
          <w:tcPr>
            <w:tcW w:w="6366" w:type="dxa"/>
            <w:shd w:val="clear" w:color="auto" w:fill="FFFFFF" w:themeFill="background1"/>
            <w:vAlign w:val="center"/>
          </w:tcPr>
          <w:p w14:paraId="6D145DB9" w14:textId="77777777" w:rsidR="00117698" w:rsidRPr="00117698" w:rsidRDefault="00117698" w:rsidP="00735082">
            <w:pPr>
              <w:tabs>
                <w:tab w:val="left" w:pos="9356"/>
              </w:tabs>
              <w:rPr>
                <w:rFonts w:ascii="Arial" w:eastAsia="Times New Roman" w:hAnsi="Arial" w:cs="Arial"/>
                <w:sz w:val="24"/>
                <w:szCs w:val="24"/>
                <w:lang w:val="en-GB" w:bidi="en-US"/>
              </w:rPr>
            </w:pPr>
            <w:r w:rsidRPr="00117698">
              <w:rPr>
                <w:rFonts w:ascii="Arial" w:eastAsia="Times New Roman" w:hAnsi="Arial" w:cs="Arial"/>
                <w:sz w:val="24"/>
                <w:szCs w:val="24"/>
                <w:lang w:val="en-GB" w:bidi="en-US"/>
              </w:rPr>
              <w:t>Coffee Break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15C8542" w14:textId="77777777" w:rsidR="00117698" w:rsidRPr="00117698" w:rsidRDefault="00735082" w:rsidP="00735082">
            <w:pPr>
              <w:tabs>
                <w:tab w:val="left" w:pos="9356"/>
              </w:tabs>
              <w:rPr>
                <w:rFonts w:ascii="Arial" w:eastAsia="Times New Roman" w:hAnsi="Arial" w:cs="Arial"/>
                <w:sz w:val="24"/>
                <w:szCs w:val="24"/>
                <w:lang w:val="en-GB" w:bidi="en-US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/</w:t>
            </w:r>
          </w:p>
        </w:tc>
      </w:tr>
      <w:tr w:rsidR="00735082" w:rsidRPr="00117698" w14:paraId="61F29206" w14:textId="77777777" w:rsidTr="00735082">
        <w:tc>
          <w:tcPr>
            <w:tcW w:w="1189" w:type="dxa"/>
            <w:shd w:val="clear" w:color="auto" w:fill="DAEEF3"/>
            <w:vAlign w:val="center"/>
          </w:tcPr>
          <w:p w14:paraId="2B8C0E08" w14:textId="77777777" w:rsidR="00735082" w:rsidRPr="00117698" w:rsidRDefault="00735082" w:rsidP="00735082">
            <w:pPr>
              <w:tabs>
                <w:tab w:val="left" w:pos="1053"/>
              </w:tabs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11.45 – 13.00</w:t>
            </w:r>
          </w:p>
        </w:tc>
        <w:tc>
          <w:tcPr>
            <w:tcW w:w="6366" w:type="dxa"/>
            <w:shd w:val="clear" w:color="auto" w:fill="DAEEF3"/>
            <w:vAlign w:val="center"/>
          </w:tcPr>
          <w:p w14:paraId="7FC6AF22" w14:textId="77777777" w:rsidR="007E3FDB" w:rsidRPr="007E3FDB" w:rsidRDefault="007E3FDB" w:rsidP="007E3FDB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E3FDB">
              <w:rPr>
                <w:rFonts w:ascii="Arial" w:hAnsi="Arial" w:cs="Arial"/>
                <w:sz w:val="24"/>
                <w:szCs w:val="24"/>
                <w:lang w:val="ro-RO"/>
              </w:rPr>
              <w:t>Piața și companiile (juridice):</w:t>
            </w:r>
          </w:p>
          <w:p w14:paraId="043999E0" w14:textId="77777777" w:rsidR="007E3FDB" w:rsidRPr="007E3FDB" w:rsidRDefault="007E3FDB" w:rsidP="007E3FDB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E3FDB">
              <w:rPr>
                <w:rFonts w:ascii="Arial" w:hAnsi="Arial" w:cs="Arial"/>
                <w:sz w:val="24"/>
                <w:szCs w:val="24"/>
                <w:lang w:val="ro-RO"/>
              </w:rPr>
              <w:t>- piețele și economia de piață</w:t>
            </w:r>
          </w:p>
          <w:p w14:paraId="30D0D6DB" w14:textId="77777777" w:rsidR="007E3FDB" w:rsidRPr="007E3FDB" w:rsidRDefault="007E3FDB" w:rsidP="007E3FDB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E3FDB">
              <w:rPr>
                <w:rFonts w:ascii="Arial" w:hAnsi="Arial" w:cs="Arial"/>
                <w:sz w:val="24"/>
                <w:szCs w:val="24"/>
                <w:lang w:val="ro-RO"/>
              </w:rPr>
              <w:t>- piețe și reglementări</w:t>
            </w:r>
          </w:p>
          <w:p w14:paraId="56CF570A" w14:textId="77777777" w:rsidR="007E3FDB" w:rsidRPr="007E3FDB" w:rsidRDefault="007E3FDB" w:rsidP="007E3FDB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E3FDB">
              <w:rPr>
                <w:rFonts w:ascii="Arial" w:hAnsi="Arial" w:cs="Arial"/>
                <w:sz w:val="24"/>
                <w:szCs w:val="24"/>
                <w:lang w:val="ro-RO"/>
              </w:rPr>
              <w:t>- tipurile de companii (caracteristici de bază și scopuri)</w:t>
            </w:r>
          </w:p>
          <w:p w14:paraId="6B4AFF69" w14:textId="77777777" w:rsidR="007E3FDB" w:rsidRPr="007E3FDB" w:rsidRDefault="007E3FDB" w:rsidP="007E3FDB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E3FDB">
              <w:rPr>
                <w:rFonts w:ascii="Arial" w:hAnsi="Arial" w:cs="Arial"/>
                <w:sz w:val="24"/>
                <w:szCs w:val="24"/>
                <w:lang w:val="ro-RO"/>
              </w:rPr>
              <w:t>- proprietățile, activele, capitalurile și finanțarea societăților;</w:t>
            </w:r>
          </w:p>
          <w:p w14:paraId="3703213F" w14:textId="373544C0" w:rsidR="00735082" w:rsidRPr="004D2110" w:rsidRDefault="007E3FDB" w:rsidP="007E3FD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E3FDB">
              <w:rPr>
                <w:rFonts w:ascii="Arial" w:hAnsi="Arial" w:cs="Arial"/>
                <w:sz w:val="24"/>
                <w:szCs w:val="24"/>
                <w:lang w:val="ro-RO"/>
              </w:rPr>
              <w:t xml:space="preserve">- restructurarea întreprinderii (reorganizări judiciare și </w:t>
            </w:r>
            <w:proofErr w:type="spellStart"/>
            <w:r w:rsidRPr="007E3FDB">
              <w:rPr>
                <w:rFonts w:ascii="Arial" w:hAnsi="Arial" w:cs="Arial"/>
                <w:sz w:val="24"/>
                <w:szCs w:val="24"/>
                <w:lang w:val="ro-RO"/>
              </w:rPr>
              <w:t>insolvenţă</w:t>
            </w:r>
            <w:proofErr w:type="spellEnd"/>
            <w:r w:rsidRPr="007E3FDB">
              <w:rPr>
                <w:rFonts w:ascii="Arial" w:hAnsi="Arial" w:cs="Arial"/>
                <w:sz w:val="24"/>
                <w:szCs w:val="24"/>
                <w:lang w:val="ro-RO"/>
              </w:rPr>
              <w:t>, părți interesate și interese)</w:t>
            </w:r>
          </w:p>
        </w:tc>
        <w:tc>
          <w:tcPr>
            <w:tcW w:w="1980" w:type="dxa"/>
            <w:shd w:val="clear" w:color="auto" w:fill="DAEEF3"/>
            <w:vAlign w:val="center"/>
          </w:tcPr>
          <w:p w14:paraId="0E1F4DA6" w14:textId="4FA6BF1C" w:rsidR="00735082" w:rsidRPr="00146191" w:rsidRDefault="0062320B" w:rsidP="0073508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Radu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o-RO"/>
              </w:rPr>
              <w:t>Rizoiu</w:t>
            </w:r>
            <w:proofErr w:type="spellEnd"/>
          </w:p>
        </w:tc>
      </w:tr>
      <w:tr w:rsidR="00735082" w:rsidRPr="00117698" w14:paraId="3AF899CF" w14:textId="77777777" w:rsidTr="00735082">
        <w:tc>
          <w:tcPr>
            <w:tcW w:w="1189" w:type="dxa"/>
            <w:shd w:val="clear" w:color="auto" w:fill="FFFFFF" w:themeFill="background1"/>
            <w:vAlign w:val="center"/>
          </w:tcPr>
          <w:p w14:paraId="31D8DD47" w14:textId="77777777" w:rsidR="00735082" w:rsidRPr="00117698" w:rsidRDefault="00735082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val="ky-KG" w:bidi="en-US"/>
              </w:rPr>
            </w:pP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13.00 – 14.00</w:t>
            </w:r>
          </w:p>
        </w:tc>
        <w:tc>
          <w:tcPr>
            <w:tcW w:w="6366" w:type="dxa"/>
            <w:shd w:val="clear" w:color="auto" w:fill="FFFFFF" w:themeFill="background1"/>
            <w:vAlign w:val="center"/>
          </w:tcPr>
          <w:p w14:paraId="67ADB240" w14:textId="40FEE1F1" w:rsidR="00735082" w:rsidRPr="00146191" w:rsidRDefault="00701D1C" w:rsidP="00735082">
            <w:pPr>
              <w:tabs>
                <w:tab w:val="left" w:pos="1053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Masa de </w:t>
            </w:r>
            <w:proofErr w:type="spellStart"/>
            <w:r w:rsidR="004D2110">
              <w:rPr>
                <w:rFonts w:ascii="Arial" w:hAnsi="Arial" w:cs="Arial"/>
                <w:sz w:val="24"/>
                <w:szCs w:val="24"/>
                <w:lang w:val="ro-RO"/>
              </w:rPr>
              <w:t>Pranz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D9C29B4" w14:textId="77777777" w:rsidR="00735082" w:rsidRPr="00146191" w:rsidRDefault="00735082" w:rsidP="00735082">
            <w:pPr>
              <w:tabs>
                <w:tab w:val="left" w:pos="1053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146191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</w:tr>
      <w:tr w:rsidR="00735082" w:rsidRPr="00117698" w14:paraId="014FC401" w14:textId="77777777" w:rsidTr="00735082">
        <w:tc>
          <w:tcPr>
            <w:tcW w:w="1189" w:type="dxa"/>
            <w:shd w:val="clear" w:color="auto" w:fill="DAEEF3"/>
            <w:vAlign w:val="center"/>
          </w:tcPr>
          <w:p w14:paraId="6E31759C" w14:textId="77777777" w:rsidR="00735082" w:rsidRPr="00117698" w:rsidRDefault="00735082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lastRenderedPageBreak/>
              <w:t>14.00 – 15.15</w:t>
            </w:r>
          </w:p>
        </w:tc>
        <w:tc>
          <w:tcPr>
            <w:tcW w:w="6366" w:type="dxa"/>
            <w:shd w:val="clear" w:color="auto" w:fill="DAEEF3"/>
            <w:vAlign w:val="center"/>
          </w:tcPr>
          <w:p w14:paraId="3AE82DDC" w14:textId="77777777" w:rsidR="007E3FDB" w:rsidRPr="007E3FDB" w:rsidRDefault="007E3FDB" w:rsidP="007E3FDB">
            <w:pPr>
              <w:tabs>
                <w:tab w:val="left" w:pos="1053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Intermedierea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financiară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și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piețele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de capital (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juridice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):</w:t>
            </w:r>
          </w:p>
          <w:p w14:paraId="78342297" w14:textId="77777777" w:rsidR="007E3FDB" w:rsidRPr="007E3FDB" w:rsidRDefault="007E3FDB" w:rsidP="007E3FDB">
            <w:pPr>
              <w:tabs>
                <w:tab w:val="left" w:pos="1053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piețele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financiare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de capital din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România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Legea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nr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. 297/2004,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Legea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nr.126 / 2018);</w:t>
            </w:r>
          </w:p>
          <w:p w14:paraId="031FFA9D" w14:textId="77777777" w:rsidR="007E3FDB" w:rsidRPr="007E3FDB" w:rsidRDefault="007E3FDB" w:rsidP="007E3FDB">
            <w:pPr>
              <w:tabs>
                <w:tab w:val="left" w:pos="1053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regimul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juridic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al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valorilor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mobiliare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acțiuni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obligațiuni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alte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instrumente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financiare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);</w:t>
            </w:r>
          </w:p>
          <w:p w14:paraId="7CDE00F8" w14:textId="77777777" w:rsidR="007E3FDB" w:rsidRPr="007E3FDB" w:rsidRDefault="007E3FDB" w:rsidP="007E3FDB">
            <w:pPr>
              <w:tabs>
                <w:tab w:val="left" w:pos="1053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instituții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de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piață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(ASF, BVB, DC)</w:t>
            </w:r>
          </w:p>
          <w:p w14:paraId="6BD8232E" w14:textId="77777777" w:rsidR="007E3FDB" w:rsidRPr="007E3FDB" w:rsidRDefault="007E3FDB" w:rsidP="007E3FDB">
            <w:pPr>
              <w:tabs>
                <w:tab w:val="left" w:pos="1053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-      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protectia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Consumatorului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;</w:t>
            </w:r>
          </w:p>
          <w:p w14:paraId="5DCA7AA5" w14:textId="77777777" w:rsidR="007E3FDB" w:rsidRPr="007E3FDB" w:rsidRDefault="007E3FDB" w:rsidP="007E3FDB">
            <w:pPr>
              <w:tabs>
                <w:tab w:val="left" w:pos="1053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creditorii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securizați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;</w:t>
            </w:r>
          </w:p>
          <w:p w14:paraId="7A79D296" w14:textId="3BCFEB2D" w:rsidR="00735082" w:rsidRPr="004D2110" w:rsidRDefault="007E3FDB" w:rsidP="007E3FDB">
            <w:pPr>
              <w:tabs>
                <w:tab w:val="left" w:pos="1053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Legea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insolvenței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nr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. 85/2014 (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dispoziții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speciale</w:t>
            </w:r>
            <w:proofErr w:type="spellEnd"/>
            <w:r w:rsidRPr="007E3FDB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)</w:t>
            </w:r>
          </w:p>
        </w:tc>
        <w:tc>
          <w:tcPr>
            <w:tcW w:w="1980" w:type="dxa"/>
            <w:shd w:val="clear" w:color="auto" w:fill="DAEEF3"/>
            <w:vAlign w:val="center"/>
          </w:tcPr>
          <w:p w14:paraId="2E90BA81" w14:textId="4F0E0640" w:rsidR="00735082" w:rsidRPr="00146191" w:rsidRDefault="0062320B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Radu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Rizoiu</w:t>
            </w:r>
            <w:proofErr w:type="spellEnd"/>
          </w:p>
        </w:tc>
      </w:tr>
      <w:tr w:rsidR="00735082" w:rsidRPr="00117698" w14:paraId="3EDB9DEB" w14:textId="77777777" w:rsidTr="00735082">
        <w:tc>
          <w:tcPr>
            <w:tcW w:w="1189" w:type="dxa"/>
            <w:shd w:val="clear" w:color="auto" w:fill="FFFFFF" w:themeFill="background1"/>
            <w:vAlign w:val="center"/>
          </w:tcPr>
          <w:p w14:paraId="6C1F055F" w14:textId="6BE5DC27" w:rsidR="00735082" w:rsidRPr="00117698" w:rsidRDefault="00735082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val="ky-KG" w:bidi="en-US"/>
              </w:rPr>
            </w:pP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15.15 – 15.30</w:t>
            </w:r>
          </w:p>
        </w:tc>
        <w:tc>
          <w:tcPr>
            <w:tcW w:w="6366" w:type="dxa"/>
            <w:shd w:val="clear" w:color="auto" w:fill="FFFFFF" w:themeFill="background1"/>
            <w:vAlign w:val="center"/>
          </w:tcPr>
          <w:p w14:paraId="7D1DF164" w14:textId="77777777" w:rsidR="00735082" w:rsidRPr="00146191" w:rsidRDefault="00735082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146191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Coffee Break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0C273A8" w14:textId="77777777" w:rsidR="00735082" w:rsidRPr="00146191" w:rsidRDefault="00735082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146191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</w:tr>
      <w:tr w:rsidR="00735082" w:rsidRPr="00117698" w14:paraId="4AF6F7DF" w14:textId="77777777" w:rsidTr="00735082">
        <w:tc>
          <w:tcPr>
            <w:tcW w:w="1189" w:type="dxa"/>
            <w:shd w:val="clear" w:color="auto" w:fill="DAEEF3"/>
            <w:vAlign w:val="center"/>
          </w:tcPr>
          <w:p w14:paraId="0A460875" w14:textId="77777777" w:rsidR="00735082" w:rsidRPr="00117698" w:rsidRDefault="00735082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15:30 – 16.00 </w:t>
            </w:r>
          </w:p>
        </w:tc>
        <w:tc>
          <w:tcPr>
            <w:tcW w:w="6366" w:type="dxa"/>
            <w:shd w:val="clear" w:color="auto" w:fill="DAEEF3"/>
            <w:vAlign w:val="center"/>
          </w:tcPr>
          <w:p w14:paraId="3BBF2567" w14:textId="2D94295D" w:rsidR="00735082" w:rsidRPr="00146191" w:rsidRDefault="004D2110" w:rsidP="00735082">
            <w:pPr>
              <w:tabs>
                <w:tab w:val="left" w:pos="1053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4D2110">
              <w:rPr>
                <w:rFonts w:ascii="Arial" w:hAnsi="Arial" w:cs="Arial"/>
                <w:sz w:val="24"/>
                <w:szCs w:val="24"/>
                <w:lang w:val="en-GB"/>
              </w:rPr>
              <w:t>Sesiune</w:t>
            </w:r>
            <w:proofErr w:type="spellEnd"/>
            <w:r w:rsidRPr="004D2110">
              <w:rPr>
                <w:rFonts w:ascii="Arial" w:hAnsi="Arial" w:cs="Arial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4D2110">
              <w:rPr>
                <w:rFonts w:ascii="Arial" w:hAnsi="Arial" w:cs="Arial"/>
                <w:sz w:val="24"/>
                <w:szCs w:val="24"/>
                <w:lang w:val="en-GB"/>
              </w:rPr>
              <w:t>dezbateri</w:t>
            </w:r>
            <w:proofErr w:type="spellEnd"/>
            <w:r w:rsidRPr="004D211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2110">
              <w:rPr>
                <w:rFonts w:ascii="Arial" w:hAnsi="Arial" w:cs="Arial"/>
                <w:sz w:val="24"/>
                <w:szCs w:val="24"/>
                <w:lang w:val="en-GB"/>
              </w:rPr>
              <w:t>şi</w:t>
            </w:r>
            <w:proofErr w:type="spellEnd"/>
            <w:r w:rsidRPr="004D211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2110">
              <w:rPr>
                <w:rFonts w:ascii="Arial" w:hAnsi="Arial" w:cs="Arial"/>
                <w:sz w:val="24"/>
                <w:szCs w:val="24"/>
                <w:lang w:val="en-GB"/>
              </w:rPr>
              <w:t>concluzii</w:t>
            </w:r>
            <w:proofErr w:type="spellEnd"/>
          </w:p>
        </w:tc>
        <w:tc>
          <w:tcPr>
            <w:tcW w:w="1980" w:type="dxa"/>
            <w:shd w:val="clear" w:color="auto" w:fill="DAEEF3"/>
            <w:vAlign w:val="center"/>
          </w:tcPr>
          <w:p w14:paraId="2F0AC366" w14:textId="77777777" w:rsidR="00735082" w:rsidRPr="00146191" w:rsidRDefault="00735082" w:rsidP="00735082">
            <w:pPr>
              <w:tabs>
                <w:tab w:val="left" w:pos="1053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46191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</w:tr>
      <w:tr w:rsidR="00735082" w:rsidRPr="00117698" w14:paraId="5BEF3F51" w14:textId="77777777" w:rsidTr="00735082">
        <w:tc>
          <w:tcPr>
            <w:tcW w:w="1189" w:type="dxa"/>
            <w:shd w:val="clear" w:color="auto" w:fill="FFFFFF" w:themeFill="background1"/>
            <w:vAlign w:val="center"/>
          </w:tcPr>
          <w:p w14:paraId="7F8FFB5A" w14:textId="77777777" w:rsidR="00735082" w:rsidRPr="00117698" w:rsidRDefault="00735082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16.00 – 17.00</w:t>
            </w:r>
          </w:p>
        </w:tc>
        <w:tc>
          <w:tcPr>
            <w:tcW w:w="6366" w:type="dxa"/>
            <w:shd w:val="clear" w:color="auto" w:fill="FFFFFF" w:themeFill="background1"/>
            <w:vAlign w:val="center"/>
          </w:tcPr>
          <w:p w14:paraId="1AED8FC0" w14:textId="6D44FE1E" w:rsidR="00735082" w:rsidRPr="00146191" w:rsidRDefault="004D2110" w:rsidP="00735082">
            <w:pPr>
              <w:tabs>
                <w:tab w:val="left" w:pos="1053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4D2110">
              <w:rPr>
                <w:rFonts w:ascii="Arial" w:hAnsi="Arial" w:cs="Arial"/>
                <w:sz w:val="24"/>
                <w:szCs w:val="24"/>
                <w:lang w:val="en-GB"/>
              </w:rPr>
              <w:t>Perioadă</w:t>
            </w:r>
            <w:proofErr w:type="spellEnd"/>
            <w:r w:rsidRPr="004D211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2110">
              <w:rPr>
                <w:rFonts w:ascii="Arial" w:hAnsi="Arial" w:cs="Arial"/>
                <w:sz w:val="24"/>
                <w:szCs w:val="24"/>
                <w:lang w:val="en-GB"/>
              </w:rPr>
              <w:t>pentru</w:t>
            </w:r>
            <w:proofErr w:type="spellEnd"/>
            <w:r w:rsidRPr="004D211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2110">
              <w:rPr>
                <w:rFonts w:ascii="Arial" w:hAnsi="Arial" w:cs="Arial"/>
                <w:sz w:val="24"/>
                <w:szCs w:val="24"/>
                <w:lang w:val="en-GB"/>
              </w:rPr>
              <w:t>socializare</w:t>
            </w:r>
            <w:proofErr w:type="spellEnd"/>
            <w:r w:rsidRPr="004D211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6B07E6F" w14:textId="77777777" w:rsidR="00735082" w:rsidRPr="00146191" w:rsidRDefault="00735082" w:rsidP="00735082">
            <w:pPr>
              <w:tabs>
                <w:tab w:val="left" w:pos="1053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46191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</w:tr>
      <w:tr w:rsidR="00735082" w:rsidRPr="00117698" w14:paraId="10D46EB8" w14:textId="77777777" w:rsidTr="00735082">
        <w:tc>
          <w:tcPr>
            <w:tcW w:w="7555" w:type="dxa"/>
            <w:gridSpan w:val="2"/>
            <w:shd w:val="clear" w:color="auto" w:fill="FFFFFF" w:themeFill="background1"/>
            <w:vAlign w:val="center"/>
          </w:tcPr>
          <w:p w14:paraId="045CDBD9" w14:textId="25D11622" w:rsidR="00735082" w:rsidRPr="00117698" w:rsidRDefault="00B95278" w:rsidP="00B23D6E">
            <w:pPr>
              <w:pStyle w:val="Titlu1"/>
              <w:spacing w:before="240"/>
              <w:jc w:val="left"/>
              <w:outlineLvl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color w:val="F58220"/>
                <w:sz w:val="24"/>
                <w:szCs w:val="24"/>
                <w:lang w:bidi="en-US"/>
              </w:rPr>
              <w:t>mar</w:t>
            </w:r>
            <w:r>
              <w:rPr>
                <w:rFonts w:ascii="Arial" w:hAnsi="Arial" w:cs="Arial"/>
                <w:color w:val="F58220"/>
                <w:sz w:val="24"/>
                <w:szCs w:val="24"/>
                <w:lang w:val="ro-RO" w:bidi="en-US"/>
              </w:rPr>
              <w:t xml:space="preserve">ţi, </w:t>
            </w:r>
            <w:r>
              <w:rPr>
                <w:rFonts w:ascii="Arial" w:hAnsi="Arial" w:cs="Arial"/>
                <w:color w:val="F58220"/>
                <w:sz w:val="24"/>
                <w:szCs w:val="24"/>
                <w:lang w:bidi="en-US"/>
              </w:rPr>
              <w:t>19 februarie 2019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96ACA01" w14:textId="77777777" w:rsidR="00735082" w:rsidRPr="00117698" w:rsidRDefault="00735082" w:rsidP="00735082">
            <w:pPr>
              <w:pStyle w:val="Titlu1"/>
              <w:spacing w:before="240"/>
              <w:jc w:val="left"/>
              <w:outlineLvl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1F2469" w:rsidRPr="00117698" w14:paraId="6B40862D" w14:textId="77777777" w:rsidTr="00735082">
        <w:tc>
          <w:tcPr>
            <w:tcW w:w="1189" w:type="dxa"/>
            <w:shd w:val="clear" w:color="auto" w:fill="FFFFFF" w:themeFill="background1"/>
            <w:vAlign w:val="center"/>
          </w:tcPr>
          <w:p w14:paraId="40A8411D" w14:textId="0AC64E4A" w:rsidR="001F2469" w:rsidRPr="00117698" w:rsidRDefault="00B95278" w:rsidP="001F2469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10.00 – 11.15</w:t>
            </w:r>
          </w:p>
        </w:tc>
        <w:tc>
          <w:tcPr>
            <w:tcW w:w="6366" w:type="dxa"/>
            <w:shd w:val="clear" w:color="auto" w:fill="FFFFFF" w:themeFill="background1"/>
            <w:vAlign w:val="center"/>
          </w:tcPr>
          <w:p w14:paraId="11D6DF30" w14:textId="1703BECB" w:rsidR="001F2469" w:rsidRPr="00146191" w:rsidRDefault="004D2110" w:rsidP="004D211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D2110">
              <w:rPr>
                <w:rFonts w:ascii="Arial" w:hAnsi="Arial" w:cs="Arial"/>
                <w:sz w:val="24"/>
                <w:szCs w:val="24"/>
                <w:lang w:val="ro-RO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roprietate intelectuală</w:t>
            </w:r>
            <w:r w:rsidRPr="004D2110">
              <w:rPr>
                <w:rFonts w:ascii="Arial" w:hAnsi="Arial" w:cs="Arial"/>
                <w:sz w:val="24"/>
                <w:szCs w:val="24"/>
                <w:lang w:val="ro-RO"/>
              </w:rPr>
              <w:t xml:space="preserve"> - Principalele argumente juridice în litigiul privind mărcile (în baza legii române)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B3CEC41" w14:textId="69C61A82" w:rsidR="001F2469" w:rsidRPr="00146191" w:rsidRDefault="001F2469" w:rsidP="001F2469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Giulio C.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o-RO"/>
              </w:rPr>
              <w:t>Zanetti</w:t>
            </w:r>
            <w:proofErr w:type="spellEnd"/>
          </w:p>
        </w:tc>
      </w:tr>
      <w:tr w:rsidR="001F2469" w:rsidRPr="00117698" w14:paraId="0F8C131B" w14:textId="77777777" w:rsidTr="00735082">
        <w:tc>
          <w:tcPr>
            <w:tcW w:w="1189" w:type="dxa"/>
            <w:shd w:val="clear" w:color="auto" w:fill="DAEEF3"/>
            <w:vAlign w:val="center"/>
          </w:tcPr>
          <w:p w14:paraId="25686343" w14:textId="4BEFA483" w:rsidR="001F2469" w:rsidRPr="00117698" w:rsidRDefault="00B95278" w:rsidP="001F2469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11.15-11.30</w:t>
            </w:r>
          </w:p>
        </w:tc>
        <w:tc>
          <w:tcPr>
            <w:tcW w:w="6366" w:type="dxa"/>
            <w:shd w:val="clear" w:color="auto" w:fill="DAEEF3"/>
            <w:vAlign w:val="center"/>
          </w:tcPr>
          <w:p w14:paraId="30B4BF02" w14:textId="77777777" w:rsidR="001F2469" w:rsidRPr="00146191" w:rsidRDefault="001F2469" w:rsidP="001F2469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146191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Coffee break</w:t>
            </w:r>
          </w:p>
        </w:tc>
        <w:tc>
          <w:tcPr>
            <w:tcW w:w="1980" w:type="dxa"/>
            <w:shd w:val="clear" w:color="auto" w:fill="DAEEF3"/>
            <w:vAlign w:val="center"/>
          </w:tcPr>
          <w:p w14:paraId="21107603" w14:textId="77777777" w:rsidR="001F2469" w:rsidRPr="00146191" w:rsidRDefault="001F2469" w:rsidP="001F2469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146191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</w:tr>
      <w:tr w:rsidR="001F2469" w:rsidRPr="00117698" w14:paraId="1FFD95AA" w14:textId="77777777" w:rsidTr="00735082">
        <w:tc>
          <w:tcPr>
            <w:tcW w:w="1189" w:type="dxa"/>
            <w:shd w:val="clear" w:color="auto" w:fill="FFFFFF" w:themeFill="background1"/>
            <w:vAlign w:val="center"/>
          </w:tcPr>
          <w:p w14:paraId="0BC5A743" w14:textId="03C8D528" w:rsidR="001F2469" w:rsidRPr="00117698" w:rsidRDefault="00B95278" w:rsidP="00B95278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11.30</w:t>
            </w: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13:00</w:t>
            </w:r>
          </w:p>
        </w:tc>
        <w:tc>
          <w:tcPr>
            <w:tcW w:w="6366" w:type="dxa"/>
            <w:shd w:val="clear" w:color="auto" w:fill="FFFFFF" w:themeFill="background1"/>
            <w:vAlign w:val="center"/>
          </w:tcPr>
          <w:p w14:paraId="0AC52A21" w14:textId="6C96B231" w:rsidR="004D2110" w:rsidRPr="004D2110" w:rsidRDefault="004D2110" w:rsidP="00701D1C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Proprietate intelectuală</w:t>
            </w:r>
            <w:r w:rsidR="001F2469">
              <w:rPr>
                <w:rFonts w:ascii="Arial" w:hAnsi="Arial" w:cs="Arial"/>
                <w:sz w:val="24"/>
                <w:szCs w:val="24"/>
                <w:lang w:val="ro-RO"/>
              </w:rPr>
              <w:t xml:space="preserve"> - </w:t>
            </w:r>
            <w:r w:rsidRPr="004D2110">
              <w:rPr>
                <w:rFonts w:ascii="Arial" w:hAnsi="Arial" w:cs="Arial"/>
                <w:sz w:val="24"/>
                <w:szCs w:val="24"/>
                <w:lang w:val="ro-RO"/>
              </w:rPr>
              <w:t>Principalele argumente juridice în litigiul privind mărcile (cont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inuare</w:t>
            </w:r>
            <w:r w:rsidRPr="004D2110">
              <w:rPr>
                <w:rFonts w:ascii="Arial" w:hAnsi="Arial" w:cs="Arial"/>
                <w:sz w:val="24"/>
                <w:szCs w:val="24"/>
                <w:lang w:val="ro-RO"/>
              </w:rPr>
              <w:t>)</w:t>
            </w:r>
          </w:p>
          <w:p w14:paraId="48EDEAFC" w14:textId="77777777" w:rsidR="004D2110" w:rsidRPr="004D2110" w:rsidRDefault="004D2110" w:rsidP="00701D1C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D2110">
              <w:rPr>
                <w:rFonts w:ascii="Arial" w:hAnsi="Arial" w:cs="Arial"/>
                <w:sz w:val="24"/>
                <w:szCs w:val="24"/>
                <w:lang w:val="ro-RO"/>
              </w:rPr>
              <w:t>Caracteristici negative</w:t>
            </w:r>
          </w:p>
          <w:p w14:paraId="6A5CABD2" w14:textId="77777777" w:rsidR="004D2110" w:rsidRPr="004D2110" w:rsidRDefault="004D2110" w:rsidP="00701D1C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D2110">
              <w:rPr>
                <w:rFonts w:ascii="Arial" w:hAnsi="Arial" w:cs="Arial"/>
                <w:sz w:val="24"/>
                <w:szCs w:val="24"/>
                <w:lang w:val="ro-RO"/>
              </w:rPr>
              <w:t>Mărci bine cunoscute</w:t>
            </w:r>
          </w:p>
          <w:p w14:paraId="38AE6E83" w14:textId="0038952C" w:rsidR="001F2469" w:rsidRPr="00146191" w:rsidRDefault="004D2110" w:rsidP="00701D1C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D2110">
              <w:rPr>
                <w:rFonts w:ascii="Arial" w:hAnsi="Arial" w:cs="Arial"/>
                <w:sz w:val="24"/>
                <w:szCs w:val="24"/>
                <w:lang w:val="ro-RO"/>
              </w:rPr>
              <w:t>Alte argumente juridice frecvente</w:t>
            </w:r>
            <w:bookmarkStart w:id="2" w:name="_GoBack"/>
            <w:bookmarkEnd w:id="2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6D261C6" w14:textId="08EEDAA5" w:rsidR="001F2469" w:rsidRPr="00146191" w:rsidRDefault="001F2469" w:rsidP="001F2469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Giulio C.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o-RO"/>
              </w:rPr>
              <w:t>Zanetti</w:t>
            </w:r>
            <w:proofErr w:type="spellEnd"/>
          </w:p>
        </w:tc>
      </w:tr>
      <w:tr w:rsidR="00B95278" w:rsidRPr="00117698" w14:paraId="74C32064" w14:textId="77777777" w:rsidTr="00735082">
        <w:tc>
          <w:tcPr>
            <w:tcW w:w="1189" w:type="dxa"/>
            <w:shd w:val="clear" w:color="auto" w:fill="DAEEF3"/>
            <w:vAlign w:val="center"/>
          </w:tcPr>
          <w:p w14:paraId="5E635F17" w14:textId="3907C730" w:rsidR="00B95278" w:rsidRPr="00117698" w:rsidRDefault="00B95278" w:rsidP="00B95278">
            <w:pPr>
              <w:pStyle w:val="Titlu1"/>
              <w:jc w:val="left"/>
              <w:outlineLvl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 w:val="0"/>
                <w:caps w:val="0"/>
                <w:color w:val="auto"/>
                <w:sz w:val="24"/>
                <w:szCs w:val="24"/>
                <w:lang w:bidi="en-US"/>
              </w:rPr>
              <w:t>13.00 – 14.00</w:t>
            </w:r>
          </w:p>
        </w:tc>
        <w:tc>
          <w:tcPr>
            <w:tcW w:w="6366" w:type="dxa"/>
            <w:shd w:val="clear" w:color="auto" w:fill="DAEEF3"/>
            <w:vAlign w:val="center"/>
          </w:tcPr>
          <w:p w14:paraId="2543E85F" w14:textId="0D2EC1BB" w:rsidR="00B95278" w:rsidRPr="00146191" w:rsidRDefault="00B95278" w:rsidP="00B95278">
            <w:pPr>
              <w:pStyle w:val="Titlu1"/>
              <w:jc w:val="left"/>
              <w:outlineLvl w:val="0"/>
              <w:rPr>
                <w:rFonts w:ascii="Arial" w:eastAsia="Times New Roman" w:hAnsi="Arial" w:cs="Arial"/>
                <w:b w:val="0"/>
                <w:caps w:val="0"/>
                <w:color w:val="auto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 w:val="0"/>
                <w:caps w:val="0"/>
                <w:color w:val="auto"/>
                <w:sz w:val="24"/>
                <w:szCs w:val="24"/>
                <w:lang w:bidi="en-US"/>
              </w:rPr>
              <w:t xml:space="preserve">Masa de </w:t>
            </w:r>
            <w:proofErr w:type="spellStart"/>
            <w:r>
              <w:rPr>
                <w:rFonts w:ascii="Arial" w:eastAsia="Times New Roman" w:hAnsi="Arial" w:cs="Arial"/>
                <w:b w:val="0"/>
                <w:caps w:val="0"/>
                <w:color w:val="auto"/>
                <w:sz w:val="24"/>
                <w:szCs w:val="24"/>
                <w:lang w:bidi="en-US"/>
              </w:rPr>
              <w:t>Pranz</w:t>
            </w:r>
            <w:proofErr w:type="spellEnd"/>
          </w:p>
        </w:tc>
        <w:tc>
          <w:tcPr>
            <w:tcW w:w="1980" w:type="dxa"/>
            <w:shd w:val="clear" w:color="auto" w:fill="DAEEF3"/>
            <w:vAlign w:val="center"/>
          </w:tcPr>
          <w:p w14:paraId="39365762" w14:textId="77777777" w:rsidR="00B95278" w:rsidRPr="00146191" w:rsidRDefault="00B95278" w:rsidP="00B95278">
            <w:pPr>
              <w:pStyle w:val="Titlu1"/>
              <w:jc w:val="left"/>
              <w:outlineLvl w:val="0"/>
              <w:rPr>
                <w:rFonts w:ascii="Arial" w:eastAsia="Times New Roman" w:hAnsi="Arial" w:cs="Arial"/>
                <w:b w:val="0"/>
                <w:caps w:val="0"/>
                <w:color w:val="auto"/>
                <w:sz w:val="24"/>
                <w:szCs w:val="24"/>
                <w:lang w:bidi="en-US"/>
              </w:rPr>
            </w:pPr>
          </w:p>
        </w:tc>
      </w:tr>
      <w:tr w:rsidR="00B95278" w:rsidRPr="00117698" w14:paraId="7003F7E5" w14:textId="77777777" w:rsidTr="00735082">
        <w:tc>
          <w:tcPr>
            <w:tcW w:w="1189" w:type="dxa"/>
            <w:shd w:val="clear" w:color="auto" w:fill="FFFFFF" w:themeFill="background1"/>
            <w:vAlign w:val="center"/>
          </w:tcPr>
          <w:p w14:paraId="7CBE9BB4" w14:textId="30FA5AFF" w:rsidR="00B95278" w:rsidRPr="00117698" w:rsidRDefault="00B95278" w:rsidP="00B95278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14.0</w:t>
            </w: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0 – 15.</w:t>
            </w: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15</w:t>
            </w:r>
          </w:p>
        </w:tc>
        <w:tc>
          <w:tcPr>
            <w:tcW w:w="6366" w:type="dxa"/>
            <w:shd w:val="clear" w:color="auto" w:fill="FFFFFF" w:themeFill="background1"/>
            <w:vAlign w:val="center"/>
          </w:tcPr>
          <w:p w14:paraId="7E5BC9C8" w14:textId="377E97FD" w:rsidR="00B95278" w:rsidRPr="004D2110" w:rsidRDefault="00B95278" w:rsidP="00B95278">
            <w:pPr>
              <w:tabs>
                <w:tab w:val="left" w:pos="1053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Proprietate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intelectuală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-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Principalele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argumente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juridice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în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brevete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și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drepturi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de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autor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pe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baza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legislației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române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): cum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să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evaluăm</w:t>
            </w:r>
            <w:proofErr w:type="spellEnd"/>
          </w:p>
          <w:p w14:paraId="2258F9E4" w14:textId="77777777" w:rsidR="00B95278" w:rsidRPr="004D2110" w:rsidRDefault="00B95278" w:rsidP="00B95278">
            <w:pPr>
              <w:tabs>
                <w:tab w:val="left" w:pos="1053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Noutatea</w:t>
            </w:r>
            <w:proofErr w:type="spellEnd"/>
          </w:p>
          <w:p w14:paraId="4A775999" w14:textId="77777777" w:rsidR="00B95278" w:rsidRPr="004D2110" w:rsidRDefault="00B95278" w:rsidP="00B95278">
            <w:pPr>
              <w:tabs>
                <w:tab w:val="left" w:pos="1053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aplicabilitate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industrială</w:t>
            </w:r>
            <w:proofErr w:type="spellEnd"/>
          </w:p>
          <w:p w14:paraId="5FB51E25" w14:textId="77777777" w:rsidR="00B95278" w:rsidRPr="004D2110" w:rsidRDefault="00B95278" w:rsidP="00B95278">
            <w:pPr>
              <w:tabs>
                <w:tab w:val="left" w:pos="1053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Pasul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inventiv</w:t>
            </w:r>
            <w:proofErr w:type="spellEnd"/>
          </w:p>
          <w:p w14:paraId="425249EF" w14:textId="77777777" w:rsidR="00B95278" w:rsidRPr="004D2110" w:rsidRDefault="00B95278" w:rsidP="00B95278">
            <w:pPr>
              <w:tabs>
                <w:tab w:val="left" w:pos="1053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Originalitate</w:t>
            </w:r>
            <w:proofErr w:type="spellEnd"/>
          </w:p>
          <w:p w14:paraId="69EB1D27" w14:textId="77777777" w:rsidR="00B95278" w:rsidRPr="004D2110" w:rsidRDefault="00B95278" w:rsidP="00B95278">
            <w:pPr>
              <w:tabs>
                <w:tab w:val="left" w:pos="1053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Drepturi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economice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și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morale</w:t>
            </w:r>
          </w:p>
          <w:p w14:paraId="37684080" w14:textId="22DCAEE5" w:rsidR="00B95278" w:rsidRPr="004D2110" w:rsidRDefault="00B95278" w:rsidP="00B95278">
            <w:pPr>
              <w:tabs>
                <w:tab w:val="left" w:pos="105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-</w:t>
            </w:r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excepţii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57F4EEF" w14:textId="103D8683" w:rsidR="00B95278" w:rsidRPr="00146191" w:rsidRDefault="00B95278" w:rsidP="00B95278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5E9E">
              <w:rPr>
                <w:rFonts w:ascii="Arial" w:hAnsi="Arial" w:cs="Arial"/>
                <w:sz w:val="24"/>
                <w:szCs w:val="24"/>
                <w:lang w:val="ro-RO"/>
              </w:rPr>
              <w:t xml:space="preserve">Giulio C. </w:t>
            </w:r>
            <w:proofErr w:type="spellStart"/>
            <w:r w:rsidRPr="00725E9E">
              <w:rPr>
                <w:rFonts w:ascii="Arial" w:hAnsi="Arial" w:cs="Arial"/>
                <w:sz w:val="24"/>
                <w:szCs w:val="24"/>
                <w:lang w:val="ro-RO"/>
              </w:rPr>
              <w:t>Zanetti</w:t>
            </w:r>
            <w:proofErr w:type="spellEnd"/>
          </w:p>
        </w:tc>
      </w:tr>
      <w:tr w:rsidR="00B95278" w:rsidRPr="00117698" w14:paraId="70E13B34" w14:textId="77777777" w:rsidTr="00735082">
        <w:tc>
          <w:tcPr>
            <w:tcW w:w="1189" w:type="dxa"/>
            <w:shd w:val="clear" w:color="auto" w:fill="DAEEF3"/>
            <w:vAlign w:val="center"/>
          </w:tcPr>
          <w:p w14:paraId="6349FA8F" w14:textId="3B4ECCA1" w:rsidR="00B95278" w:rsidRPr="00117698" w:rsidRDefault="00B95278" w:rsidP="00B95278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val="ky-KG"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15.15</w:t>
            </w: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– 16.00</w:t>
            </w:r>
          </w:p>
        </w:tc>
        <w:tc>
          <w:tcPr>
            <w:tcW w:w="6366" w:type="dxa"/>
            <w:shd w:val="clear" w:color="auto" w:fill="DAEEF3"/>
            <w:vAlign w:val="center"/>
          </w:tcPr>
          <w:p w14:paraId="281E2F38" w14:textId="00E52502" w:rsidR="00B95278" w:rsidRPr="00146191" w:rsidRDefault="00B95278" w:rsidP="00B95278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Sesiune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de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dezbateri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concluzii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şi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închiderea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seminarului</w:t>
            </w:r>
            <w:proofErr w:type="spellEnd"/>
          </w:p>
        </w:tc>
        <w:tc>
          <w:tcPr>
            <w:tcW w:w="1980" w:type="dxa"/>
            <w:shd w:val="clear" w:color="auto" w:fill="DAEEF3"/>
            <w:vAlign w:val="center"/>
          </w:tcPr>
          <w:p w14:paraId="29064712" w14:textId="77777777" w:rsidR="00B95278" w:rsidRPr="00146191" w:rsidRDefault="00B95278" w:rsidP="00B95278">
            <w:pPr>
              <w:tabs>
                <w:tab w:val="left" w:pos="1053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46191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</w:tr>
      <w:tr w:rsidR="00B95278" w:rsidRPr="00117698" w14:paraId="47652D14" w14:textId="77777777" w:rsidTr="00735082">
        <w:tc>
          <w:tcPr>
            <w:tcW w:w="1189" w:type="dxa"/>
            <w:shd w:val="clear" w:color="auto" w:fill="FFFFFF" w:themeFill="background1"/>
            <w:vAlign w:val="center"/>
          </w:tcPr>
          <w:p w14:paraId="0BA9268A" w14:textId="65725763" w:rsidR="00B95278" w:rsidRPr="00117698" w:rsidRDefault="00B95278" w:rsidP="00B95278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16.00 – 17.00</w:t>
            </w:r>
          </w:p>
        </w:tc>
        <w:tc>
          <w:tcPr>
            <w:tcW w:w="6366" w:type="dxa"/>
            <w:shd w:val="clear" w:color="auto" w:fill="FFFFFF" w:themeFill="background1"/>
            <w:vAlign w:val="center"/>
          </w:tcPr>
          <w:p w14:paraId="73383E4B" w14:textId="147D8332" w:rsidR="00B95278" w:rsidRPr="00146191" w:rsidRDefault="00B95278" w:rsidP="00B95278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Perioadă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pentru</w:t>
            </w:r>
            <w:proofErr w:type="spellEnd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211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socializare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FBAABFF" w14:textId="77777777" w:rsidR="00B95278" w:rsidRPr="00146191" w:rsidRDefault="00B95278" w:rsidP="00B95278">
            <w:pPr>
              <w:tabs>
                <w:tab w:val="left" w:pos="1053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46191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</w:tr>
    </w:tbl>
    <w:p w14:paraId="0F7F3122" w14:textId="77777777" w:rsidR="0070711F" w:rsidRPr="00117698" w:rsidRDefault="0070711F" w:rsidP="00BF4E2E">
      <w:pPr>
        <w:rPr>
          <w:rFonts w:ascii="Arial" w:hAnsi="Arial" w:cs="Arial"/>
        </w:rPr>
      </w:pPr>
    </w:p>
    <w:sectPr w:rsidR="0070711F" w:rsidRPr="00117698" w:rsidSect="00701D1C">
      <w:footerReference w:type="defaul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99BF1" w14:textId="77777777" w:rsidR="00E45948" w:rsidRDefault="00E45948">
      <w:r>
        <w:separator/>
      </w:r>
    </w:p>
  </w:endnote>
  <w:endnote w:type="continuationSeparator" w:id="0">
    <w:p w14:paraId="4026B78D" w14:textId="77777777" w:rsidR="00E45948" w:rsidRDefault="00E4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bin 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73915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5DA95" w14:textId="77777777" w:rsidR="00735082" w:rsidRPr="00735082" w:rsidRDefault="00735082">
        <w:pPr>
          <w:pStyle w:val="Subsol"/>
          <w:jc w:val="center"/>
          <w:rPr>
            <w:rFonts w:ascii="Arial" w:hAnsi="Arial" w:cs="Arial"/>
          </w:rPr>
        </w:pPr>
        <w:r w:rsidRPr="00735082">
          <w:rPr>
            <w:rFonts w:ascii="Arial" w:hAnsi="Arial" w:cs="Arial"/>
          </w:rPr>
          <w:fldChar w:fldCharType="begin"/>
        </w:r>
        <w:r w:rsidRPr="00735082">
          <w:rPr>
            <w:rFonts w:ascii="Arial" w:hAnsi="Arial" w:cs="Arial"/>
          </w:rPr>
          <w:instrText xml:space="preserve"> PAGE   \* MERGEFORMAT </w:instrText>
        </w:r>
        <w:r w:rsidRPr="00735082">
          <w:rPr>
            <w:rFonts w:ascii="Arial" w:hAnsi="Arial" w:cs="Arial"/>
          </w:rPr>
          <w:fldChar w:fldCharType="separate"/>
        </w:r>
        <w:r w:rsidR="00BF4E2E">
          <w:rPr>
            <w:rFonts w:ascii="Arial" w:hAnsi="Arial" w:cs="Arial"/>
            <w:noProof/>
          </w:rPr>
          <w:t>2</w:t>
        </w:r>
        <w:r w:rsidRPr="00735082">
          <w:rPr>
            <w:rFonts w:ascii="Arial" w:hAnsi="Arial" w:cs="Arial"/>
            <w:noProof/>
          </w:rPr>
          <w:fldChar w:fldCharType="end"/>
        </w:r>
      </w:p>
    </w:sdtContent>
  </w:sdt>
  <w:p w14:paraId="451F7C5E" w14:textId="77777777" w:rsidR="00735082" w:rsidRPr="00735082" w:rsidRDefault="00735082">
    <w:pPr>
      <w:pStyle w:val="Subsol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C327" w14:textId="77777777" w:rsidR="0070711F" w:rsidRDefault="0070711F">
    <w:pPr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9C0BB" w14:textId="77777777" w:rsidR="00E45948" w:rsidRDefault="00E45948">
      <w:r>
        <w:separator/>
      </w:r>
    </w:p>
  </w:footnote>
  <w:footnote w:type="continuationSeparator" w:id="0">
    <w:p w14:paraId="704BE265" w14:textId="77777777" w:rsidR="00E45948" w:rsidRDefault="00E4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30717"/>
    <w:multiLevelType w:val="hybridMultilevel"/>
    <w:tmpl w:val="FD4E1F4E"/>
    <w:lvl w:ilvl="0" w:tplc="F74A99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E2CFC"/>
    <w:multiLevelType w:val="hybridMultilevel"/>
    <w:tmpl w:val="433A8B56"/>
    <w:lvl w:ilvl="0" w:tplc="A5C28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2D"/>
    <w:rsid w:val="00117698"/>
    <w:rsid w:val="00146191"/>
    <w:rsid w:val="001604DC"/>
    <w:rsid w:val="00160A84"/>
    <w:rsid w:val="00192EA3"/>
    <w:rsid w:val="001B082D"/>
    <w:rsid w:val="001B70EF"/>
    <w:rsid w:val="001F2469"/>
    <w:rsid w:val="00216A60"/>
    <w:rsid w:val="00246454"/>
    <w:rsid w:val="0026081D"/>
    <w:rsid w:val="002965AA"/>
    <w:rsid w:val="00297179"/>
    <w:rsid w:val="002F698C"/>
    <w:rsid w:val="0034130B"/>
    <w:rsid w:val="00363F80"/>
    <w:rsid w:val="003973F7"/>
    <w:rsid w:val="00444C90"/>
    <w:rsid w:val="00446AC9"/>
    <w:rsid w:val="004C251E"/>
    <w:rsid w:val="004C3C78"/>
    <w:rsid w:val="004D2110"/>
    <w:rsid w:val="00571063"/>
    <w:rsid w:val="005C63E3"/>
    <w:rsid w:val="005E21C7"/>
    <w:rsid w:val="005E64C9"/>
    <w:rsid w:val="0062320B"/>
    <w:rsid w:val="00634DC9"/>
    <w:rsid w:val="006D3FA3"/>
    <w:rsid w:val="00701D1C"/>
    <w:rsid w:val="0070711F"/>
    <w:rsid w:val="00735082"/>
    <w:rsid w:val="007515BC"/>
    <w:rsid w:val="007A36D3"/>
    <w:rsid w:val="007E3FDB"/>
    <w:rsid w:val="00843D5A"/>
    <w:rsid w:val="008D1312"/>
    <w:rsid w:val="00913B61"/>
    <w:rsid w:val="00961289"/>
    <w:rsid w:val="00A04ED0"/>
    <w:rsid w:val="00A61E06"/>
    <w:rsid w:val="00A83F46"/>
    <w:rsid w:val="00AD7074"/>
    <w:rsid w:val="00AE07EA"/>
    <w:rsid w:val="00AE113C"/>
    <w:rsid w:val="00AE3EA2"/>
    <w:rsid w:val="00AE53E4"/>
    <w:rsid w:val="00B1315B"/>
    <w:rsid w:val="00B23D6E"/>
    <w:rsid w:val="00B95278"/>
    <w:rsid w:val="00BF4E2E"/>
    <w:rsid w:val="00C26892"/>
    <w:rsid w:val="00D46ECC"/>
    <w:rsid w:val="00D74939"/>
    <w:rsid w:val="00D87FA2"/>
    <w:rsid w:val="00DD2883"/>
    <w:rsid w:val="00E161FD"/>
    <w:rsid w:val="00E45948"/>
    <w:rsid w:val="00E67EA6"/>
    <w:rsid w:val="00E8174D"/>
    <w:rsid w:val="00EA02E1"/>
    <w:rsid w:val="00ED31DA"/>
    <w:rsid w:val="00FB6E26"/>
    <w:rsid w:val="00FC7C67"/>
    <w:rsid w:val="5FA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3CBE6"/>
  <w15:docId w15:val="{8CC767D2-3663-4AD9-B0E5-9C15EE5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2D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1B082D"/>
    <w:pPr>
      <w:spacing w:line="240" w:lineRule="auto"/>
      <w:jc w:val="center"/>
      <w:outlineLvl w:val="0"/>
    </w:pPr>
    <w:rPr>
      <w:rFonts w:ascii="Cabin Regular" w:hAnsi="Cabin Regular"/>
      <w:b/>
      <w:caps/>
      <w:color w:val="006695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ProvvTabFonti">
    <w:name w:val="Provv Tab Fonti"/>
    <w:basedOn w:val="Normal"/>
    <w:next w:val="Normal"/>
    <w:pPr>
      <w:tabs>
        <w:tab w:val="left" w:pos="484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paragraph" w:customStyle="1" w:styleId="ProvvTabTesto">
    <w:name w:val="Provv Tab Testo"/>
    <w:rPr>
      <w:sz w:val="24"/>
    </w:rPr>
  </w:style>
  <w:style w:type="paragraph" w:customStyle="1" w:styleId="ProvvTabTitolo">
    <w:name w:val="Provv Tab Titolo"/>
    <w:next w:val="Normal"/>
    <w:pPr>
      <w:spacing w:after="120"/>
    </w:pPr>
    <w:rPr>
      <w:b/>
      <w:i/>
      <w:sz w:val="24"/>
    </w:rPr>
  </w:style>
  <w:style w:type="paragraph" w:customStyle="1" w:styleId="ProvvTitolo10">
    <w:name w:val="Provv Titolo 1.0"/>
    <w:next w:val="Normal"/>
    <w:pPr>
      <w:keepNext/>
    </w:pPr>
    <w:rPr>
      <w:b/>
      <w:caps/>
      <w:sz w:val="28"/>
    </w:rPr>
  </w:style>
  <w:style w:type="paragraph" w:customStyle="1" w:styleId="ProvvTitolo11">
    <w:name w:val="Provv Titolo 1.1"/>
    <w:next w:val="Normal"/>
    <w:pPr>
      <w:keepNext/>
    </w:pPr>
    <w:rPr>
      <w:i/>
      <w:caps/>
      <w:sz w:val="28"/>
    </w:rPr>
  </w:style>
  <w:style w:type="paragraph" w:customStyle="1" w:styleId="ProvvTitolo20">
    <w:name w:val="Provv Titolo 2.0"/>
    <w:next w:val="Normal"/>
    <w:pPr>
      <w:keepNext/>
    </w:pPr>
    <w:rPr>
      <w:b/>
      <w:i/>
      <w:sz w:val="28"/>
    </w:rPr>
  </w:style>
  <w:style w:type="paragraph" w:customStyle="1" w:styleId="ProvvTitolo21">
    <w:name w:val="Provv Titolo 2.1"/>
    <w:next w:val="Normal"/>
    <w:pPr>
      <w:keepNext/>
    </w:pPr>
    <w:rPr>
      <w:b/>
      <w:sz w:val="28"/>
    </w:rPr>
  </w:style>
  <w:style w:type="paragraph" w:customStyle="1" w:styleId="ProvvTitolo30">
    <w:name w:val="Provv Titolo 3.0"/>
    <w:next w:val="Normal"/>
    <w:pPr>
      <w:keepNext/>
    </w:pPr>
    <w:rPr>
      <w:i/>
      <w:sz w:val="28"/>
    </w:rPr>
  </w:style>
  <w:style w:type="paragraph" w:customStyle="1" w:styleId="ProvvTitolo31">
    <w:name w:val="Provv Titolo 3.1"/>
    <w:basedOn w:val="Normal"/>
    <w:next w:val="Normal"/>
    <w:pPr>
      <w:keepNext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it-IT" w:eastAsia="it-IT"/>
    </w:rPr>
  </w:style>
  <w:style w:type="character" w:customStyle="1" w:styleId="Titlu1Caracter">
    <w:name w:val="Titlu 1 Caracter"/>
    <w:basedOn w:val="Fontdeparagrafimplicit"/>
    <w:link w:val="Titlu1"/>
    <w:uiPriority w:val="9"/>
    <w:rsid w:val="001B082D"/>
    <w:rPr>
      <w:rFonts w:ascii="Cabin Regular" w:eastAsia="Calibri" w:hAnsi="Cabin Regular"/>
      <w:b/>
      <w:caps/>
      <w:color w:val="006695"/>
      <w:sz w:val="28"/>
      <w:szCs w:val="28"/>
      <w:lang w:val="en-US" w:eastAsia="en-US"/>
    </w:rPr>
  </w:style>
  <w:style w:type="table" w:customStyle="1" w:styleId="TableGrid1">
    <w:name w:val="Table Grid1"/>
    <w:basedOn w:val="TabelNormal"/>
    <w:next w:val="Tabelgril"/>
    <w:uiPriority w:val="59"/>
    <w:rsid w:val="001B082D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gril">
    <w:name w:val="Table Grid"/>
    <w:basedOn w:val="TabelNormal"/>
    <w:uiPriority w:val="39"/>
    <w:rsid w:val="001B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515B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ntetCaracter">
    <w:name w:val="Antet Caracter"/>
    <w:basedOn w:val="Fontdeparagrafimplicit"/>
    <w:link w:val="Antet"/>
    <w:uiPriority w:val="99"/>
    <w:rsid w:val="007515BC"/>
    <w:rPr>
      <w:sz w:val="24"/>
      <w:lang w:val="x-none" w:eastAsia="x-none"/>
    </w:rPr>
  </w:style>
  <w:style w:type="paragraph" w:styleId="Subsol">
    <w:name w:val="footer"/>
    <w:basedOn w:val="Normal"/>
    <w:link w:val="SubsolCaracter"/>
    <w:uiPriority w:val="99"/>
    <w:unhideWhenUsed/>
    <w:rsid w:val="00446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6AC9"/>
    <w:rPr>
      <w:rFonts w:ascii="Calibri" w:eastAsia="Calibri" w:hAnsi="Calibri"/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semiHidden/>
    <w:unhideWhenUsed/>
    <w:rsid w:val="0073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735082"/>
    <w:rPr>
      <w:rFonts w:ascii="Segoe UI" w:eastAsia="Calibri" w:hAnsi="Segoe UI" w:cs="Segoe UI"/>
      <w:sz w:val="18"/>
      <w:szCs w:val="18"/>
      <w:lang w:val="en-US" w:eastAsia="en-US"/>
    </w:rPr>
  </w:style>
  <w:style w:type="paragraph" w:styleId="Listparagraf">
    <w:name w:val="List Paragraph"/>
    <w:basedOn w:val="Normal"/>
    <w:uiPriority w:val="34"/>
    <w:qFormat/>
    <w:rsid w:val="001F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</vt:lpstr>
      <vt:lpstr>y</vt:lpstr>
    </vt:vector>
  </TitlesOfParts>
  <Company>AGCM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>y</dc:subject>
  <dc:creator>Gian Luca SEPE</dc:creator>
  <cp:keywords>LP/COMP</cp:keywords>
  <cp:lastModifiedBy>Tudor Grigoroaia</cp:lastModifiedBy>
  <cp:revision>4</cp:revision>
  <cp:lastPrinted>2019-02-15T09:15:00Z</cp:lastPrinted>
  <dcterms:created xsi:type="dcterms:W3CDTF">2019-02-14T08:37:00Z</dcterms:created>
  <dcterms:modified xsi:type="dcterms:W3CDTF">2019-02-15T09:18:00Z</dcterms:modified>
</cp:coreProperties>
</file>